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16617"/>
      <w:r>
        <w:rPr>
          <w:rStyle w:val="20"/>
          <w:sz w:val="28"/>
          <w:szCs w:val="28"/>
        </w:rPr>
        <w:t>KT1025A</w:t>
      </w:r>
      <w:bookmarkEnd w:id="0"/>
      <w:r>
        <w:rPr>
          <w:rStyle w:val="20"/>
          <w:rFonts w:hint="eastAsia" w:ascii="宋体" w:hAnsi="宋体"/>
          <w:sz w:val="28"/>
          <w:szCs w:val="28"/>
        </w:rPr>
        <w:t>How to modify the prompt sound to your own needs</w:t>
      </w:r>
    </w:p>
    <w:p>
      <w:pPr>
        <w:pStyle w:val="2"/>
        <w:jc w:val="left"/>
      </w:pPr>
      <w:r>
        <w:rPr>
          <w:rStyle w:val="20"/>
          <w:rFonts w:hint="eastAsia" w:ascii="宋体" w:hAnsi="宋体"/>
          <w:b w:val="0"/>
          <w:bCs w:val="0"/>
          <w:sz w:val="28"/>
          <w:szCs w:val="28"/>
        </w:rPr>
        <w:t>1. Instructions for prompt sounds</w:t>
      </w:r>
    </w:p>
    <w:p>
      <w:pPr>
        <w:spacing w:line="260" w:lineRule="atLeast"/>
        <w:jc w:val="left"/>
      </w:pPr>
      <w:r>
        <w:rPr>
          <w:rStyle w:val="20"/>
          <w:rFonts w:hint="eastAsia" w:ascii="宋体" w:hAnsi="宋体"/>
          <w:sz w:val="24"/>
          <w:szCs w:val="24"/>
        </w:rPr>
        <w:t>1. At present, there are five prompt tones supported in the chip.</w:t>
      </w:r>
    </w:p>
    <w:tbl>
      <w:tblPr>
        <w:tblStyle w:val="10"/>
        <w:tblW w:w="8740" w:type="dxa"/>
        <w:tblInd w:w="-19" w:type="dxa"/>
        <w:tblLayout w:type="fixed"/>
        <w:tblCellMar>
          <w:top w:w="0" w:type="dxa"/>
          <w:left w:w="0" w:type="dxa"/>
          <w:bottom w:w="0" w:type="dxa"/>
          <w:right w:w="0" w:type="dxa"/>
        </w:tblCellMar>
      </w:tblPr>
      <w:tblGrid>
        <w:gridCol w:w="1866"/>
        <w:gridCol w:w="2869"/>
        <w:gridCol w:w="4005"/>
      </w:tblGrid>
      <w:tr>
        <w:tblPrEx>
          <w:tblLayout w:type="fixed"/>
          <w:tblCellMar>
            <w:top w:w="0" w:type="dxa"/>
            <w:left w:w="0" w:type="dxa"/>
            <w:bottom w:w="0" w:type="dxa"/>
            <w:right w:w="0" w:type="dxa"/>
          </w:tblCellMar>
        </w:tblPrEx>
        <w:trPr>
          <w:trHeight w:val="357" w:hRule="atLeast"/>
        </w:trPr>
        <w:tc>
          <w:tcPr>
            <w:tcW w:w="1866" w:type="dxa"/>
            <w:tcBorders>
              <w:top w:val="single" w:color="000000" w:sz="12" w:space="0"/>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20"/>
                <w:rFonts w:hint="eastAsia" w:ascii="宋体" w:hAnsi="宋体"/>
                <w:sz w:val="24"/>
                <w:szCs w:val="24"/>
              </w:rPr>
              <w:t>Music mode</w:t>
            </w:r>
          </w:p>
        </w:tc>
        <w:tc>
          <w:tcPr>
            <w:tcW w:w="2869" w:type="dxa"/>
            <w:tcBorders>
              <w:top w:val="single" w:color="000000" w:sz="12" w:space="0"/>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20"/>
                <w:rFonts w:hint="eastAsia" w:ascii="宋体" w:hAnsi="宋体"/>
                <w:sz w:val="24"/>
                <w:szCs w:val="24"/>
              </w:rPr>
              <w:t>Music.mp3</w:t>
            </w:r>
          </w:p>
        </w:tc>
        <w:tc>
          <w:tcPr>
            <w:tcW w:w="4005" w:type="dxa"/>
            <w:tcBorders>
              <w:top w:val="single" w:color="000000" w:sz="12" w:space="0"/>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Fonts w:hint="eastAsia" w:ascii="宋体" w:hAnsi="宋体"/>
                <w:sz w:val="24"/>
                <w:szCs w:val="24"/>
              </w:rPr>
              <w:t> </w:t>
            </w:r>
          </w:p>
        </w:tc>
      </w:tr>
      <w:tr>
        <w:tblPrEx>
          <w:tblLayout w:type="fixed"/>
          <w:tblCellMar>
            <w:top w:w="0" w:type="dxa"/>
            <w:left w:w="0" w:type="dxa"/>
            <w:bottom w:w="0" w:type="dxa"/>
            <w:right w:w="0" w:type="dxa"/>
          </w:tblCellMar>
        </w:tblPrEx>
        <w:trPr>
          <w:trHeight w:val="357" w:hRule="atLeast"/>
        </w:trPr>
        <w:tc>
          <w:tcPr>
            <w:tcW w:w="1866"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20"/>
                <w:rFonts w:hint="eastAsia" w:ascii="宋体" w:hAnsi="宋体"/>
                <w:sz w:val="24"/>
                <w:szCs w:val="24"/>
              </w:rPr>
              <w:t>Bluetooth mode</w:t>
            </w:r>
          </w:p>
        </w:tc>
        <w:tc>
          <w:tcPr>
            <w:tcW w:w="2869"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20"/>
                <w:rFonts w:hint="eastAsia" w:ascii="宋体" w:hAnsi="宋体"/>
                <w:sz w:val="24"/>
                <w:szCs w:val="24"/>
              </w:rPr>
              <w:t>Bt.mp3</w:t>
            </w:r>
          </w:p>
        </w:tc>
        <w:tc>
          <w:tcPr>
            <w:tcW w:w="4005"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Fonts w:hint="eastAsia" w:ascii="宋体" w:hAnsi="宋体"/>
                <w:sz w:val="24"/>
                <w:szCs w:val="24"/>
              </w:rPr>
              <w:t> </w:t>
            </w:r>
          </w:p>
        </w:tc>
      </w:tr>
      <w:tr>
        <w:tblPrEx>
          <w:tblLayout w:type="fixed"/>
          <w:tblCellMar>
            <w:top w:w="0" w:type="dxa"/>
            <w:left w:w="0" w:type="dxa"/>
            <w:bottom w:w="0" w:type="dxa"/>
            <w:right w:w="0" w:type="dxa"/>
          </w:tblCellMar>
        </w:tblPrEx>
        <w:trPr>
          <w:trHeight w:val="628" w:hRule="atLeast"/>
        </w:trPr>
        <w:tc>
          <w:tcPr>
            <w:tcW w:w="1866"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20"/>
                <w:rFonts w:hint="eastAsia" w:ascii="宋体" w:hAnsi="宋体"/>
                <w:sz w:val="24"/>
                <w:szCs w:val="24"/>
              </w:rPr>
              <w:t>Successful connection</w:t>
            </w:r>
          </w:p>
        </w:tc>
        <w:tc>
          <w:tcPr>
            <w:tcW w:w="2869"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20"/>
                <w:rFonts w:hint="eastAsia" w:ascii="宋体" w:hAnsi="宋体"/>
                <w:sz w:val="24"/>
                <w:szCs w:val="24"/>
              </w:rPr>
              <w:t>Connect.mp3</w:t>
            </w:r>
          </w:p>
        </w:tc>
        <w:tc>
          <w:tcPr>
            <w:tcW w:w="4005"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Fonts w:hint="eastAsia" w:ascii="宋体" w:hAnsi="宋体"/>
                <w:sz w:val="24"/>
                <w:szCs w:val="24"/>
              </w:rPr>
              <w:t> </w:t>
            </w:r>
          </w:p>
        </w:tc>
      </w:tr>
      <w:tr>
        <w:tblPrEx>
          <w:tblLayout w:type="fixed"/>
          <w:tblCellMar>
            <w:top w:w="0" w:type="dxa"/>
            <w:left w:w="0" w:type="dxa"/>
            <w:bottom w:w="0" w:type="dxa"/>
            <w:right w:w="0" w:type="dxa"/>
          </w:tblCellMar>
        </w:tblPrEx>
        <w:trPr>
          <w:trHeight w:val="628" w:hRule="atLeast"/>
        </w:trPr>
        <w:tc>
          <w:tcPr>
            <w:tcW w:w="1866"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20"/>
                <w:rFonts w:hint="eastAsia" w:ascii="宋体" w:hAnsi="宋体"/>
                <w:sz w:val="24"/>
                <w:szCs w:val="24"/>
              </w:rPr>
              <w:t>Connection disconnect</w:t>
            </w:r>
          </w:p>
        </w:tc>
        <w:tc>
          <w:tcPr>
            <w:tcW w:w="2869"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20"/>
                <w:rFonts w:hint="eastAsia" w:ascii="宋体" w:hAnsi="宋体"/>
                <w:sz w:val="24"/>
                <w:szCs w:val="24"/>
              </w:rPr>
              <w:t>Disconnect.mp3</w:t>
            </w:r>
          </w:p>
        </w:tc>
        <w:tc>
          <w:tcPr>
            <w:tcW w:w="4005"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Fonts w:hint="eastAsia" w:ascii="宋体" w:hAnsi="宋体"/>
                <w:sz w:val="24"/>
                <w:szCs w:val="24"/>
              </w:rPr>
              <w:t> </w:t>
            </w:r>
          </w:p>
        </w:tc>
      </w:tr>
      <w:tr>
        <w:tblPrEx>
          <w:tblLayout w:type="fixed"/>
          <w:tblCellMar>
            <w:top w:w="0" w:type="dxa"/>
            <w:left w:w="0" w:type="dxa"/>
            <w:bottom w:w="0" w:type="dxa"/>
            <w:right w:w="0" w:type="dxa"/>
          </w:tblCellMar>
        </w:tblPrEx>
        <w:trPr>
          <w:trHeight w:val="386" w:hRule="atLeast"/>
        </w:trPr>
        <w:tc>
          <w:tcPr>
            <w:tcW w:w="1866" w:type="dxa"/>
            <w:tcBorders>
              <w:top w:val="nil"/>
              <w:left w:val="single" w:color="000000" w:sz="12" w:space="0"/>
              <w:bottom w:val="single" w:color="000000" w:sz="12" w:space="0"/>
              <w:right w:val="single" w:color="000000" w:sz="12" w:space="0"/>
            </w:tcBorders>
            <w:tcMar>
              <w:top w:w="0" w:type="dxa"/>
              <w:left w:w="108" w:type="dxa"/>
              <w:bottom w:w="0" w:type="dxa"/>
              <w:right w:w="108" w:type="dxa"/>
            </w:tcMar>
            <w:vAlign w:val="center"/>
          </w:tcPr>
          <w:p>
            <w:pPr>
              <w:autoSpaceDN w:val="0"/>
              <w:jc w:val="left"/>
              <w:textAlignment w:val="center"/>
            </w:pPr>
            <w:r>
              <w:rPr>
                <w:rStyle w:val="20"/>
                <w:rFonts w:hint="eastAsia" w:ascii="宋体" w:hAnsi="宋体"/>
                <w:sz w:val="24"/>
                <w:szCs w:val="24"/>
              </w:rPr>
              <w:t>Incoming call</w:t>
            </w:r>
          </w:p>
        </w:tc>
        <w:tc>
          <w:tcPr>
            <w:tcW w:w="2869"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Style w:val="20"/>
                <w:rFonts w:hint="eastAsia" w:ascii="宋体" w:hAnsi="宋体"/>
                <w:sz w:val="24"/>
                <w:szCs w:val="24"/>
              </w:rPr>
              <w:t>Ring.mp3</w:t>
            </w:r>
          </w:p>
        </w:tc>
        <w:tc>
          <w:tcPr>
            <w:tcW w:w="4005" w:type="dxa"/>
            <w:tcBorders>
              <w:top w:val="nil"/>
              <w:left w:val="nil"/>
              <w:bottom w:val="single" w:color="000000" w:sz="12" w:space="0"/>
              <w:right w:val="single" w:color="000000" w:sz="12" w:space="0"/>
            </w:tcBorders>
            <w:tcMar>
              <w:top w:w="0" w:type="dxa"/>
              <w:left w:w="108" w:type="dxa"/>
              <w:bottom w:w="0" w:type="dxa"/>
              <w:right w:w="108" w:type="dxa"/>
            </w:tcMar>
            <w:vAlign w:val="bottom"/>
          </w:tcPr>
          <w:p>
            <w:pPr>
              <w:autoSpaceDN w:val="0"/>
              <w:jc w:val="left"/>
              <w:textAlignment w:val="bottom"/>
            </w:pPr>
            <w:r>
              <w:rPr>
                <w:rFonts w:hint="eastAsia" w:ascii="宋体" w:hAnsi="宋体"/>
                <w:sz w:val="24"/>
                <w:szCs w:val="24"/>
              </w:rPr>
              <w:t> </w:t>
            </w:r>
          </w:p>
        </w:tc>
      </w:tr>
    </w:tbl>
    <w:p>
      <w:pPr>
        <w:spacing w:line="260" w:lineRule="atLeast"/>
        <w:jc w:val="left"/>
      </w:pPr>
      <w:r>
        <w:rPr>
          <w:rFonts w:hint="eastAsia" w:ascii="宋体" w:hAnsi="宋体"/>
          <w:sz w:val="24"/>
          <w:szCs w:val="24"/>
        </w:rPr>
        <w:t> </w:t>
      </w:r>
    </w:p>
    <w:p>
      <w:pPr>
        <w:spacing w:line="260" w:lineRule="atLeast"/>
        <w:jc w:val="left"/>
      </w:pPr>
      <w:r>
        <w:rPr>
          <w:rStyle w:val="20"/>
          <w:rFonts w:hint="eastAsia" w:ascii="宋体" w:hAnsi="宋体"/>
          <w:sz w:val="24"/>
          <w:szCs w:val="24"/>
        </w:rPr>
        <w:t>2. If you need to change the prompt tone, please provide the above file. The file must be compressed.Must be named as above</w:t>
      </w:r>
    </w:p>
    <w:p>
      <w:pPr>
        <w:spacing w:line="260" w:lineRule="atLeast"/>
        <w:jc w:val="left"/>
      </w:pPr>
      <w:r>
        <w:rPr>
          <w:rStyle w:val="20"/>
          <w:rFonts w:hint="eastAsia" w:ascii="宋体" w:hAnsi="宋体"/>
          <w:sz w:val="24"/>
          <w:szCs w:val="24"/>
        </w:rPr>
        <w:t>The size of 3 and 5 files can not exceed 17KB, which is limited by the memory space inside the chip.</w:t>
      </w:r>
    </w:p>
    <w:p>
      <w:pPr>
        <w:spacing w:line="260" w:lineRule="atLeast"/>
        <w:jc w:val="left"/>
      </w:pPr>
      <w:r>
        <w:rPr>
          <w:rStyle w:val="20"/>
          <w:rFonts w:hint="eastAsia" w:ascii="宋体" w:hAnsi="宋体"/>
          <w:sz w:val="24"/>
          <w:szCs w:val="24"/>
        </w:rPr>
        <w:t>4. The volume of the prompt sound should be edited by software.You can put it in the TF card and play it. Is the sound appropriate?</w:t>
      </w:r>
    </w:p>
    <w:p>
      <w:pPr>
        <w:jc w:val="left"/>
      </w:pPr>
      <w:r>
        <w:rPr>
          <w:rStyle w:val="20"/>
          <w:sz w:val="24"/>
          <w:szCs w:val="24"/>
        </w:rPr>
        <w:t>5. In order to facilitate the use of customers, the specific effect can be audited by BT201 module.</w:t>
      </w:r>
      <w:r>
        <w:rPr>
          <w:rStyle w:val="20"/>
          <w:rFonts w:hint="eastAsia" w:ascii="宋体" w:hAnsi="宋体"/>
          <w:b/>
          <w:bCs/>
          <w:color w:val="FF0000"/>
          <w:sz w:val="24"/>
          <w:szCs w:val="24"/>
        </w:rPr>
        <w:t>Hint tones we use are monotones</w:t>
      </w:r>
    </w:p>
    <w:p>
      <w:pPr>
        <w:jc w:val="left"/>
      </w:pPr>
      <w:r>
        <w:rPr>
          <w:rStyle w:val="20"/>
          <w:sz w:val="24"/>
          <w:szCs w:val="24"/>
        </w:rPr>
        <w:t>6. If you don&amp;apos;t need prompt tone, you can turn it off by serial instructions. See the manual for details.</w:t>
      </w:r>
    </w:p>
    <w:p>
      <w:pPr>
        <w:pStyle w:val="2"/>
        <w:jc w:val="left"/>
      </w:pPr>
      <w:r>
        <w:rPr>
          <w:rStyle w:val="20"/>
          <w:b w:val="0"/>
          <w:bCs w:val="0"/>
          <w:sz w:val="28"/>
          <w:szCs w:val="28"/>
        </w:rPr>
        <w:t>Explanation of customized prompt sound</w:t>
      </w:r>
    </w:p>
    <w:p>
      <w:pPr>
        <w:jc w:val="left"/>
      </w:pPr>
      <w:r>
        <w:rPr>
          <w:rStyle w:val="20"/>
          <w:sz w:val="24"/>
          <w:szCs w:val="24"/>
        </w:rPr>
        <w:t>1. If you need to customize the prompt tone, this can only be us, because the prompt tone is written in the chip, the user can not modify it.</w:t>
      </w:r>
    </w:p>
    <w:p>
      <w:pPr>
        <w:jc w:val="left"/>
      </w:pPr>
      <w:r>
        <w:rPr>
          <w:sz w:val="24"/>
          <w:szCs w:val="24"/>
        </w:rPr>
        <w:t> </w:t>
      </w:r>
    </w:p>
    <w:p>
      <w:pPr>
        <w:jc w:val="left"/>
      </w:pPr>
      <w:r>
        <w:rPr>
          <w:rStyle w:val="20"/>
          <w:sz w:val="24"/>
          <w:szCs w:val="24"/>
        </w:rPr>
        <w:t>2. There are three requirements to modify the prompt sound:</w:t>
      </w:r>
    </w:p>
    <w:p>
      <w:pPr>
        <w:jc w:val="left"/>
      </w:pPr>
      <w:r>
        <w:rPr>
          <w:rStyle w:val="20"/>
          <w:sz w:val="24"/>
          <w:szCs w:val="24"/>
        </w:rPr>
        <w:t>(1) Provide us with prompt sound, we must pack and send to us in accordance with the above requirements, note the information, after we improve, new procedures will be upgraded to you.</w:t>
      </w:r>
    </w:p>
    <w:p>
      <w:pPr>
        <w:jc w:val="left"/>
      </w:pPr>
      <w:r>
        <w:rPr>
          <w:sz w:val="24"/>
          <w:szCs w:val="24"/>
        </w:rPr>
        <w:t> </w:t>
      </w:r>
    </w:p>
    <w:p>
      <w:pPr>
        <w:jc w:val="left"/>
      </w:pPr>
      <w:r>
        <w:rPr>
          <w:rStyle w:val="20"/>
          <w:sz w:val="24"/>
          <w:szCs w:val="24"/>
        </w:rPr>
        <w:t>(2) The user&amp;apos;s product must be a product. If you make a sample casually, it is not necessary for us to modify it.After all, manpower is also a cost.</w:t>
      </w:r>
    </w:p>
    <w:p>
      <w:pPr>
        <w:jc w:val="left"/>
      </w:pPr>
      <w:r>
        <w:rPr>
          <w:rStyle w:val="20"/>
          <w:rFonts w:hint="eastAsia" w:ascii="宋体" w:hAnsi="宋体"/>
          <w:sz w:val="24"/>
          <w:szCs w:val="24"/>
        </w:rPr>
        <w:t>You&amp;apos;ll see.</w:t>
      </w:r>
    </w:p>
    <w:p>
      <w:pPr>
        <w:jc w:val="left"/>
      </w:pPr>
      <w:r>
        <w:rPr>
          <w:sz w:val="24"/>
          <w:szCs w:val="24"/>
        </w:rPr>
        <w:t> </w:t>
      </w:r>
    </w:p>
    <w:p>
      <w:pPr>
        <w:jc w:val="left"/>
      </w:pPr>
      <w:r>
        <w:rPr>
          <w:rStyle w:val="20"/>
          <w:sz w:val="24"/>
          <w:szCs w:val="24"/>
        </w:rPr>
        <w:t xml:space="preserve">(3) If there are </w:t>
      </w:r>
      <w:bookmarkStart w:id="1" w:name="_GoBack"/>
      <w:bookmarkEnd w:id="1"/>
      <w:r>
        <w:rPr>
          <w:rStyle w:val="20"/>
          <w:sz w:val="24"/>
          <w:szCs w:val="24"/>
        </w:rPr>
        <w:t>some special tips, it is necessary for us to charge for them, so you should consider them well.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cumentProtection w:enforcement="0"/>
  <w:defaultTabStop w:val="420"/>
  <w:noPunctuationKerning w:val="1"/>
  <w:characterSpacingControl w:val="compressPunctuation"/>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
  <w:rsids>
    <w:rsidRoot w:val="007E718C"/>
    <w:rsid w:val="007E718C"/>
    <w:rsid w:val="28125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paragraph" w:styleId="2">
    <w:name w:val="heading 1"/>
    <w:basedOn w:val="1"/>
    <w:next w:val="1"/>
    <w:link w:val="12"/>
    <w:qFormat/>
    <w:uiPriority w:val="9"/>
    <w:pPr>
      <w:keepNext/>
      <w:spacing w:before="340" w:after="330" w:line="576" w:lineRule="auto"/>
      <w:outlineLvl w:val="0"/>
    </w:pPr>
    <w:rPr>
      <w:b/>
      <w:bCs/>
      <w:kern w:val="36"/>
      <w:sz w:val="32"/>
      <w:szCs w:val="32"/>
    </w:rPr>
  </w:style>
  <w:style w:type="paragraph" w:styleId="3">
    <w:name w:val="heading 2"/>
    <w:basedOn w:val="1"/>
    <w:next w:val="1"/>
    <w:link w:val="13"/>
    <w:qFormat/>
    <w:uiPriority w:val="9"/>
    <w:pPr>
      <w:keepNext/>
      <w:spacing w:before="260" w:after="260" w:line="412" w:lineRule="auto"/>
      <w:outlineLvl w:val="1"/>
    </w:pPr>
    <w:rPr>
      <w:rFonts w:ascii="Arial" w:hAnsi="Arial" w:cs="Arial"/>
      <w:b/>
      <w:bCs/>
      <w:sz w:val="32"/>
      <w:szCs w:val="32"/>
    </w:rPr>
  </w:style>
  <w:style w:type="paragraph" w:styleId="4">
    <w:name w:val="heading 3"/>
    <w:basedOn w:val="1"/>
    <w:next w:val="1"/>
    <w:link w:val="14"/>
    <w:qFormat/>
    <w:uiPriority w:val="9"/>
    <w:pPr>
      <w:keepNext/>
      <w:spacing w:before="260" w:after="260" w:line="415" w:lineRule="auto"/>
      <w:ind w:left="720" w:hanging="720"/>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pPr>
      <w:ind w:left="840"/>
    </w:pPr>
  </w:style>
  <w:style w:type="paragraph" w:styleId="6">
    <w:name w:val="footer"/>
    <w:basedOn w:val="1"/>
    <w:link w:val="17"/>
    <w:semiHidden/>
    <w:unhideWhenUsed/>
    <w:uiPriority w:val="99"/>
    <w:pPr>
      <w:snapToGrid w:val="0"/>
      <w:jc w:val="left"/>
    </w:pPr>
    <w:rPr>
      <w:sz w:val="18"/>
      <w:szCs w:val="18"/>
    </w:rPr>
  </w:style>
  <w:style w:type="paragraph" w:styleId="7">
    <w:name w:val="header"/>
    <w:basedOn w:val="1"/>
    <w:link w:val="16"/>
    <w:semiHidden/>
    <w:unhideWhenUsed/>
    <w:uiPriority w:val="99"/>
    <w:pPr>
      <w:snapToGrid w:val="0"/>
    </w:pPr>
    <w:rPr>
      <w:sz w:val="18"/>
      <w:szCs w:val="18"/>
    </w:rPr>
  </w:style>
  <w:style w:type="paragraph" w:styleId="8">
    <w:name w:val="toc 1"/>
    <w:basedOn w:val="1"/>
    <w:next w:val="1"/>
    <w:semiHidden/>
    <w:unhideWhenUsed/>
    <w:qFormat/>
    <w:uiPriority w:val="39"/>
  </w:style>
  <w:style w:type="paragraph" w:styleId="9">
    <w:name w:val="toc 2"/>
    <w:basedOn w:val="1"/>
    <w:next w:val="1"/>
    <w:semiHidden/>
    <w:unhideWhenUsed/>
    <w:qFormat/>
    <w:uiPriority w:val="39"/>
    <w:pPr>
      <w:ind w:left="420"/>
    </w:pPr>
  </w:style>
  <w:style w:type="character" w:customStyle="1" w:styleId="12">
    <w:name w:val="标题 1 字符"/>
    <w:basedOn w:val="11"/>
    <w:link w:val="2"/>
    <w:uiPriority w:val="9"/>
    <w:rPr>
      <w:rFonts w:eastAsia="宋体" w:cs="宋体"/>
      <w:b/>
      <w:bCs/>
      <w:kern w:val="44"/>
      <w:sz w:val="44"/>
      <w:szCs w:val="44"/>
    </w:rPr>
  </w:style>
  <w:style w:type="character" w:customStyle="1" w:styleId="13">
    <w:name w:val="标题 2 字符"/>
    <w:basedOn w:val="11"/>
    <w:link w:val="3"/>
    <w:semiHidden/>
    <w:uiPriority w:val="9"/>
    <w:rPr>
      <w:rFonts w:hint="default" w:ascii="Arial" w:hAnsi="Arial" w:cs="Arial"/>
      <w:b/>
      <w:bCs/>
    </w:rPr>
  </w:style>
  <w:style w:type="character" w:customStyle="1" w:styleId="14">
    <w:name w:val="标题 3 字符"/>
    <w:basedOn w:val="11"/>
    <w:link w:val="4"/>
    <w:semiHidden/>
    <w:uiPriority w:val="9"/>
    <w:rPr>
      <w:rFonts w:eastAsia="宋体" w:cs="宋体"/>
      <w:b/>
      <w:bCs/>
      <w:sz w:val="32"/>
      <w:szCs w:val="32"/>
    </w:rPr>
  </w:style>
  <w:style w:type="paragraph" w:customStyle="1" w:styleId="15">
    <w:name w:val="msonormal"/>
    <w:basedOn w:val="1"/>
    <w:qFormat/>
    <w:uiPriority w:val="0"/>
    <w:pPr>
      <w:spacing w:before="100" w:beforeAutospacing="1" w:after="100" w:afterAutospacing="1"/>
      <w:jc w:val="left"/>
    </w:pPr>
    <w:rPr>
      <w:rFonts w:ascii="宋体" w:hAnsi="宋体"/>
      <w:sz w:val="24"/>
      <w:szCs w:val="24"/>
    </w:rPr>
  </w:style>
  <w:style w:type="character" w:customStyle="1" w:styleId="16">
    <w:name w:val="页眉 字符"/>
    <w:basedOn w:val="11"/>
    <w:link w:val="7"/>
    <w:semiHidden/>
    <w:uiPriority w:val="99"/>
    <w:rPr>
      <w:rFonts w:eastAsia="宋体" w:cs="宋体"/>
      <w:sz w:val="18"/>
      <w:szCs w:val="18"/>
    </w:rPr>
  </w:style>
  <w:style w:type="character" w:customStyle="1" w:styleId="17">
    <w:name w:val="页脚 字符"/>
    <w:basedOn w:val="11"/>
    <w:link w:val="6"/>
    <w:semiHidden/>
    <w:uiPriority w:val="99"/>
    <w:rPr>
      <w:rFonts w:eastAsia="宋体" w:cs="宋体"/>
      <w:sz w:val="18"/>
      <w:szCs w:val="18"/>
    </w:rPr>
  </w:style>
  <w:style w:type="paragraph" w:customStyle="1" w:styleId="18">
    <w:name w:val="TOC 标题1"/>
    <w:basedOn w:val="1"/>
    <w:uiPriority w:val="0"/>
    <w:pPr>
      <w:keepNext/>
      <w:spacing w:before="240" w:line="256" w:lineRule="auto"/>
      <w:jc w:val="left"/>
    </w:pPr>
    <w:rPr>
      <w:rFonts w:ascii="Calibri Light" w:hAnsi="Calibri Light"/>
      <w:color w:val="2E74B5"/>
      <w:sz w:val="32"/>
      <w:szCs w:val="32"/>
    </w:rPr>
  </w:style>
  <w:style w:type="paragraph" w:customStyle="1" w:styleId="19">
    <w:name w:val="msochpdefault"/>
    <w:basedOn w:val="1"/>
    <w:qFormat/>
    <w:uiPriority w:val="0"/>
    <w:pPr>
      <w:spacing w:before="100" w:beforeAutospacing="1" w:after="100" w:afterAutospacing="1"/>
      <w:jc w:val="left"/>
    </w:pPr>
    <w:rPr>
      <w:sz w:val="24"/>
      <w:szCs w:val="24"/>
    </w:rPr>
  </w:style>
  <w:style w:type="character" w:customStyle="1" w:styleId="20">
    <w:name w:val="translated-span"/>
    <w:basedOn w:val="11"/>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242</Words>
  <Characters>1383</Characters>
  <Lines>11</Lines>
  <Paragraphs>3</Paragraphs>
  <TotalTime>3</TotalTime>
  <ScaleCrop>false</ScaleCrop>
  <LinksUpToDate>false</LinksUpToDate>
  <CharactersWithSpaces>1622</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2019-07-11T09:11:00Z</dcterms:created>
  <dc:creator>Administrator</dc:creator>
  <cp:lastModifiedBy>莺子</cp:lastModifiedBy>
  <dcterms:modified xsi:type="dcterms:W3CDTF">2019-07-11T10:55:42Z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